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1739514" cy="623481"/>
            <wp:docPr id="0" name="Drawing 0" descr="da0d1db15871265a060761964447ef17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a0d1db15871265a060761964447ef17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739514" cy="6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54"/>
          <w:szCs w:val="54"/>
        </w:rPr>
        <w:t xml:space="preserve">Zihin ve Ekran, EMDR ve Duygudurum Bozukluklarında Farmakolojik Tedaviler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36"/>
          <w:szCs w:val="36"/>
        </w:rPr>
        <w:t xml:space="preserve">14-15 HAZİRAN 2025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36"/>
          <w:szCs w:val="36"/>
        </w:rPr>
        <w:t xml:space="preserve">Kırklareli Dessera Bağ Evi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Eğitmenler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Doç. Dr. Tonguç Demir Berkol / Uzm. Dr. Zeki Vatansever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PROGRAM AKIŞI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4aad"/>
          <w:sz w:val="24"/>
          <w:szCs w:val="24"/>
        </w:rPr>
        <w:t xml:space="preserve">1.GÜN 14 HAZİRAN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13:30 -14:30: Açılış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14.30 -15.30: EMDR’a g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r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ş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15.30-16.00: Mola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16:00 -17:00 : Kompleks travma ve EMDR kullanımı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17:00 -17:30: Mola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17.30-21.00: Kısa v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deo kl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pler 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le serbest ve d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nam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k çağrışımlar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4aad"/>
          <w:sz w:val="24"/>
          <w:szCs w:val="24"/>
        </w:rPr>
        <w:t xml:space="preserve">2.GÜN 15 HAZİRAN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10:00 -11:00: 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Duygudurum bozukluklarında farmakolojik tedavi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11.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0-1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.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3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0: Mola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.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3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0-1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2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.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3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0: Akılcı 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laç kullanımı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bril Fatface" w:hAnsi="Abril Fatface" w:cs="Abril Fatface" w:eastAsia="Abril Fatface"/>
          <w:color w:val="000000"/>
          <w:sz w:val="24"/>
          <w:szCs w:val="24"/>
        </w:rPr>
        <w:t>1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2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: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3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0 - 13: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0 Değerlend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>i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rme ve Kapanış </w:t>
      </w:r>
      <w:r>
        <w:rPr>
          <w:rFonts w:ascii="Abril Fatface" w:hAnsi="Abril Fatface" w:cs="Abril Fatface" w:eastAsia="Abril Fatface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Abril Fatface Italics">
    <w:panose1 w:val="02000503000000020003"/>
    <w:charset w:characterSet="1"/>
    <w:embedItalic r:id="rId5"/>
  </w:font>
  <w:font w:name="Abril Fatface">
    <w:panose1 w:val="020005030000000200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2025-05-07T12:48:34Z</dcterms:created>
  <dc:creator>Apache POI</dc:creator>
</cp:coreProperties>
</file>